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E6C7B" w14:textId="77777777" w:rsidR="00405D8D" w:rsidRPr="00405D8D" w:rsidRDefault="00405D8D" w:rsidP="00405D8D">
      <w:pPr>
        <w:shd w:val="clear" w:color="auto" w:fill="FFFFFF"/>
        <w:spacing w:after="0" w:line="240" w:lineRule="auto"/>
        <w:outlineLvl w:val="0"/>
        <w:rPr>
          <w:rFonts w:eastAsia="Times New Roman" w:cstheme="minorHAnsi"/>
          <w:b/>
          <w:bCs/>
          <w:kern w:val="36"/>
          <w:sz w:val="28"/>
          <w:szCs w:val="28"/>
          <w:u w:val="single"/>
          <w:lang w:eastAsia="fr-BE"/>
        </w:rPr>
      </w:pPr>
      <w:r w:rsidRPr="00405D8D">
        <w:rPr>
          <w:rFonts w:eastAsia="Times New Roman" w:cstheme="minorHAnsi"/>
          <w:b/>
          <w:bCs/>
          <w:kern w:val="36"/>
          <w:sz w:val="28"/>
          <w:szCs w:val="28"/>
          <w:u w:val="single"/>
          <w:lang w:eastAsia="fr-BE"/>
        </w:rPr>
        <w:t>Déchets &amp; seconde fusion : la collecte peine à décoller</w:t>
      </w:r>
    </w:p>
    <w:p w14:paraId="45A7C780" w14:textId="77777777" w:rsidR="00405D8D" w:rsidRPr="00405D8D" w:rsidRDefault="00405D8D" w:rsidP="00405D8D">
      <w:pPr>
        <w:shd w:val="clear" w:color="auto" w:fill="FFFFFF"/>
        <w:spacing w:before="75" w:after="75" w:line="240" w:lineRule="auto"/>
        <w:jc w:val="both"/>
        <w:rPr>
          <w:rFonts w:eastAsia="Times New Roman" w:cstheme="minorHAnsi"/>
          <w:i/>
          <w:iCs/>
          <w:color w:val="000000"/>
          <w:sz w:val="24"/>
          <w:szCs w:val="24"/>
          <w:lang w:eastAsia="fr-BE"/>
        </w:rPr>
      </w:pPr>
    </w:p>
    <w:p w14:paraId="30F4D213" w14:textId="2B03A398" w:rsidR="00405D8D" w:rsidRPr="00405D8D" w:rsidRDefault="00405D8D" w:rsidP="00405D8D">
      <w:pPr>
        <w:shd w:val="clear" w:color="auto" w:fill="FFFFFF"/>
        <w:spacing w:before="75" w:after="75" w:line="240" w:lineRule="auto"/>
        <w:jc w:val="both"/>
        <w:rPr>
          <w:rFonts w:eastAsia="Times New Roman" w:cstheme="minorHAnsi"/>
          <w:color w:val="000000"/>
          <w:sz w:val="24"/>
          <w:szCs w:val="24"/>
          <w:lang w:eastAsia="fr-BE"/>
        </w:rPr>
      </w:pPr>
      <w:r w:rsidRPr="00405D8D">
        <w:rPr>
          <w:rFonts w:eastAsia="Times New Roman" w:cstheme="minorHAnsi"/>
          <w:b/>
          <w:bCs/>
          <w:color w:val="000000"/>
          <w:sz w:val="24"/>
          <w:szCs w:val="24"/>
          <w:lang w:eastAsia="fr-BE"/>
        </w:rPr>
        <w:t>Les prises de bénéfices opérées la semaine dernière semblent avoir rapidement trouvé leurs limites. Les métaux anticipent manifestement une reprise dynamique en 2021. Pour l’heure, les professionnels du recyclage constatent une collecte qui peine d’autant plus à décoller que le marché des ferrailles semble perdre un peu de terrain.</w:t>
      </w:r>
    </w:p>
    <w:p w14:paraId="3B2C0116" w14:textId="77777777" w:rsidR="00405D8D" w:rsidRPr="00405D8D" w:rsidRDefault="00405D8D" w:rsidP="00405D8D">
      <w:pPr>
        <w:shd w:val="clear" w:color="auto" w:fill="FFFFFF"/>
        <w:spacing w:before="75" w:after="75" w:line="240" w:lineRule="auto"/>
        <w:jc w:val="both"/>
        <w:rPr>
          <w:rFonts w:eastAsia="Times New Roman" w:cstheme="minorHAnsi"/>
          <w:color w:val="000000"/>
          <w:sz w:val="24"/>
          <w:szCs w:val="24"/>
          <w:lang w:eastAsia="fr-BE"/>
        </w:rPr>
      </w:pPr>
      <w:r w:rsidRPr="00405D8D">
        <w:rPr>
          <w:rFonts w:eastAsia="Times New Roman" w:cstheme="minorHAnsi"/>
          <w:color w:val="000000"/>
          <w:sz w:val="24"/>
          <w:szCs w:val="24"/>
          <w:lang w:eastAsia="fr-BE"/>
        </w:rPr>
        <w:t>Sur le marché des déchets d’</w:t>
      </w:r>
      <w:r w:rsidRPr="00405D8D">
        <w:rPr>
          <w:rFonts w:eastAsia="Times New Roman" w:cstheme="minorHAnsi"/>
          <w:color w:val="000000"/>
          <w:sz w:val="24"/>
          <w:szCs w:val="24"/>
          <w:u w:val="single"/>
          <w:lang w:eastAsia="fr-BE"/>
        </w:rPr>
        <w:t>aluminium</w:t>
      </w:r>
      <w:r w:rsidRPr="00405D8D">
        <w:rPr>
          <w:rFonts w:eastAsia="Times New Roman" w:cstheme="minorHAnsi"/>
          <w:color w:val="000000"/>
          <w:sz w:val="24"/>
          <w:szCs w:val="24"/>
          <w:lang w:eastAsia="fr-BE"/>
        </w:rPr>
        <w:t>, la cotation des </w:t>
      </w:r>
      <w:r w:rsidRPr="00405D8D">
        <w:rPr>
          <w:rFonts w:eastAsia="Times New Roman" w:cstheme="minorHAnsi"/>
          <w:color w:val="000000"/>
          <w:sz w:val="24"/>
          <w:szCs w:val="24"/>
          <w:u w:val="single"/>
          <w:lang w:eastAsia="fr-BE"/>
        </w:rPr>
        <w:t>lingots</w:t>
      </w:r>
      <w:r w:rsidRPr="00405D8D">
        <w:rPr>
          <w:rFonts w:eastAsia="Times New Roman" w:cstheme="minorHAnsi"/>
          <w:color w:val="000000"/>
          <w:sz w:val="24"/>
          <w:szCs w:val="24"/>
          <w:lang w:eastAsia="fr-BE"/>
        </w:rPr>
        <w:t> satisfaisant à la norme </w:t>
      </w:r>
      <w:r w:rsidRPr="00405D8D">
        <w:rPr>
          <w:rFonts w:eastAsia="Times New Roman" w:cstheme="minorHAnsi"/>
          <w:color w:val="000000"/>
          <w:sz w:val="24"/>
          <w:szCs w:val="24"/>
          <w:u w:val="single"/>
          <w:lang w:eastAsia="fr-BE"/>
        </w:rPr>
        <w:t>DIN 226</w:t>
      </w:r>
      <w:r w:rsidRPr="00405D8D">
        <w:rPr>
          <w:rFonts w:eastAsia="Times New Roman" w:cstheme="minorHAnsi"/>
          <w:color w:val="000000"/>
          <w:sz w:val="24"/>
          <w:szCs w:val="24"/>
          <w:lang w:eastAsia="fr-BE"/>
        </w:rPr>
        <w:t> (équivalent à l’</w:t>
      </w:r>
      <w:r w:rsidRPr="00405D8D">
        <w:rPr>
          <w:rFonts w:eastAsia="Times New Roman" w:cstheme="minorHAnsi"/>
          <w:color w:val="000000"/>
          <w:sz w:val="24"/>
          <w:szCs w:val="24"/>
          <w:u w:val="single"/>
          <w:lang w:eastAsia="fr-BE"/>
        </w:rPr>
        <w:t>AS9U3</w:t>
      </w:r>
      <w:r w:rsidRPr="00405D8D">
        <w:rPr>
          <w:rFonts w:eastAsia="Times New Roman" w:cstheme="minorHAnsi"/>
          <w:color w:val="000000"/>
          <w:sz w:val="24"/>
          <w:szCs w:val="24"/>
          <w:lang w:eastAsia="fr-BE"/>
        </w:rPr>
        <w:t>) fait [presque] preuve de stabilité. À 2040/2090 euros, la partie haute de la fourchette cède 10 euros. « </w:t>
      </w:r>
      <w:r w:rsidRPr="00405D8D">
        <w:rPr>
          <w:rFonts w:eastAsia="Times New Roman" w:cstheme="minorHAnsi"/>
          <w:i/>
          <w:iCs/>
          <w:color w:val="000000"/>
          <w:sz w:val="24"/>
          <w:szCs w:val="24"/>
          <w:lang w:eastAsia="fr-BE"/>
        </w:rPr>
        <w:t>C’est peu, mais ça confirme l’idée que l’on a atteint des prix qui demandent à être consolidés par des facteurs fondamentaux permettant d’étayer ces niveaux sur du moyen ou du long terme. Pour le moment, on n’en est pas vraiment là, notamment dans le secteur automobile</w:t>
      </w:r>
      <w:r w:rsidRPr="00405D8D">
        <w:rPr>
          <w:rFonts w:eastAsia="Times New Roman" w:cstheme="minorHAnsi"/>
          <w:color w:val="000000"/>
          <w:sz w:val="24"/>
          <w:szCs w:val="24"/>
          <w:lang w:eastAsia="fr-BE"/>
        </w:rPr>
        <w:t> », estimait en début de semaine un bon connaisseur du marché européen de l’aluminium. Un sentiment qui se reflète également dans la cotation </w:t>
      </w:r>
      <w:r w:rsidRPr="00405D8D">
        <w:rPr>
          <w:rFonts w:eastAsia="Times New Roman" w:cstheme="minorHAnsi"/>
          <w:color w:val="000000"/>
          <w:sz w:val="24"/>
          <w:szCs w:val="24"/>
          <w:u w:val="single"/>
          <w:lang w:eastAsia="fr-BE"/>
        </w:rPr>
        <w:t>AS9U3</w:t>
      </w:r>
      <w:r w:rsidRPr="00405D8D">
        <w:rPr>
          <w:rFonts w:eastAsia="Times New Roman" w:cstheme="minorHAnsi"/>
          <w:color w:val="000000"/>
          <w:sz w:val="24"/>
          <w:szCs w:val="24"/>
          <w:lang w:eastAsia="fr-BE"/>
        </w:rPr>
        <w:t> publiée par La Tribune des métaux, stabilisée à 1900/2000 euros. Conséquence immédiate, les prix des déchets enfournés à l’affinage font du surplace. Le constat vaut pour les </w:t>
      </w:r>
      <w:r w:rsidRPr="00405D8D">
        <w:rPr>
          <w:rFonts w:eastAsia="Times New Roman" w:cstheme="minorHAnsi"/>
          <w:color w:val="000000"/>
          <w:sz w:val="24"/>
          <w:szCs w:val="24"/>
          <w:u w:val="single"/>
          <w:lang w:eastAsia="fr-BE"/>
        </w:rPr>
        <w:t>alu vieux et neufs mêlés</w:t>
      </w:r>
      <w:r w:rsidRPr="00405D8D">
        <w:rPr>
          <w:rFonts w:eastAsia="Times New Roman" w:cstheme="minorHAnsi"/>
          <w:color w:val="000000"/>
          <w:sz w:val="24"/>
          <w:szCs w:val="24"/>
          <w:lang w:eastAsia="fr-BE"/>
        </w:rPr>
        <w:t> (850/950 euros), le </w:t>
      </w:r>
      <w:r w:rsidRPr="00405D8D">
        <w:rPr>
          <w:rFonts w:eastAsia="Times New Roman" w:cstheme="minorHAnsi"/>
          <w:color w:val="000000"/>
          <w:sz w:val="24"/>
          <w:szCs w:val="24"/>
          <w:u w:val="single"/>
          <w:lang w:eastAsia="fr-BE"/>
        </w:rPr>
        <w:t>carter ordinaire</w:t>
      </w:r>
      <w:r w:rsidRPr="00405D8D">
        <w:rPr>
          <w:rFonts w:eastAsia="Times New Roman" w:cstheme="minorHAnsi"/>
          <w:color w:val="000000"/>
          <w:sz w:val="24"/>
          <w:szCs w:val="24"/>
          <w:lang w:eastAsia="fr-BE"/>
        </w:rPr>
        <w:t> (1050/1100 euros) et les </w:t>
      </w:r>
      <w:r w:rsidRPr="00405D8D">
        <w:rPr>
          <w:rFonts w:eastAsia="Times New Roman" w:cstheme="minorHAnsi"/>
          <w:color w:val="000000"/>
          <w:sz w:val="24"/>
          <w:szCs w:val="24"/>
          <w:u w:val="single"/>
          <w:lang w:eastAsia="fr-BE"/>
        </w:rPr>
        <w:t>chutes neuves AG/Dural</w:t>
      </w:r>
      <w:r w:rsidRPr="00405D8D">
        <w:rPr>
          <w:rFonts w:eastAsia="Times New Roman" w:cstheme="minorHAnsi"/>
          <w:color w:val="000000"/>
          <w:sz w:val="24"/>
          <w:szCs w:val="24"/>
          <w:lang w:eastAsia="fr-BE"/>
        </w:rPr>
        <w:t> (1100/1230 euros). Toutefois, certains opérateurs de marché mettent en avant une baisse assez significative de la collecte depuis deux semaines — baisse de nature à freiner toute tentative d’érosion trop prononcée du prix des lingots, les intrants restant forcément chers puisque l’offre est moindre et le cours LME élevé. Pour leur part, les très belles qualités directement indexées sur la Bourse de Londres sont en bonne forme. Les </w:t>
      </w:r>
      <w:r w:rsidRPr="00405D8D">
        <w:rPr>
          <w:rFonts w:eastAsia="Times New Roman" w:cstheme="minorHAnsi"/>
          <w:color w:val="000000"/>
          <w:sz w:val="24"/>
          <w:szCs w:val="24"/>
          <w:u w:val="single"/>
          <w:lang w:eastAsia="fr-BE"/>
        </w:rPr>
        <w:t>profilés AGS blancs</w:t>
      </w:r>
      <w:r w:rsidRPr="00405D8D">
        <w:rPr>
          <w:rFonts w:eastAsia="Times New Roman" w:cstheme="minorHAnsi"/>
          <w:color w:val="000000"/>
          <w:sz w:val="24"/>
          <w:szCs w:val="24"/>
          <w:lang w:eastAsia="fr-BE"/>
        </w:rPr>
        <w:t> caracolent largement au-dessus des 1800 euros, les couleurs valent autour des 1550 euros, les </w:t>
      </w:r>
      <w:r w:rsidRPr="00405D8D">
        <w:rPr>
          <w:rFonts w:eastAsia="Times New Roman" w:cstheme="minorHAnsi"/>
          <w:color w:val="000000"/>
          <w:sz w:val="24"/>
          <w:szCs w:val="24"/>
          <w:u w:val="single"/>
          <w:lang w:eastAsia="fr-BE"/>
        </w:rPr>
        <w:t>ponts-thermiques</w:t>
      </w:r>
      <w:r w:rsidRPr="00405D8D">
        <w:rPr>
          <w:rFonts w:eastAsia="Times New Roman" w:cstheme="minorHAnsi"/>
          <w:color w:val="000000"/>
          <w:sz w:val="24"/>
          <w:szCs w:val="24"/>
          <w:lang w:eastAsia="fr-BE"/>
        </w:rPr>
        <w:t> entre 1180 et 1225 euros.</w:t>
      </w:r>
    </w:p>
    <w:p w14:paraId="22328F32" w14:textId="77777777" w:rsidR="00405D8D" w:rsidRPr="00405D8D" w:rsidRDefault="00405D8D" w:rsidP="00405D8D">
      <w:pPr>
        <w:shd w:val="clear" w:color="auto" w:fill="FFFFFF"/>
        <w:spacing w:before="75" w:after="75" w:line="240" w:lineRule="auto"/>
        <w:jc w:val="both"/>
        <w:rPr>
          <w:rFonts w:eastAsia="Times New Roman" w:cstheme="minorHAnsi"/>
          <w:color w:val="000000"/>
          <w:sz w:val="24"/>
          <w:szCs w:val="24"/>
          <w:lang w:eastAsia="fr-BE"/>
        </w:rPr>
      </w:pPr>
      <w:r w:rsidRPr="00405D8D">
        <w:rPr>
          <w:rFonts w:eastAsia="Times New Roman" w:cstheme="minorHAnsi"/>
          <w:color w:val="000000"/>
          <w:sz w:val="24"/>
          <w:szCs w:val="24"/>
          <w:lang w:eastAsia="fr-BE"/>
        </w:rPr>
        <w:t> </w:t>
      </w:r>
    </w:p>
    <w:p w14:paraId="08AC41B7" w14:textId="77777777" w:rsidR="00405D8D" w:rsidRPr="00405D8D" w:rsidRDefault="00405D8D" w:rsidP="00405D8D">
      <w:pPr>
        <w:shd w:val="clear" w:color="auto" w:fill="FFFFFF"/>
        <w:spacing w:before="75" w:after="75" w:line="240" w:lineRule="auto"/>
        <w:jc w:val="both"/>
        <w:rPr>
          <w:rFonts w:eastAsia="Times New Roman" w:cstheme="minorHAnsi"/>
          <w:color w:val="000000"/>
          <w:sz w:val="24"/>
          <w:szCs w:val="24"/>
          <w:lang w:eastAsia="fr-BE"/>
        </w:rPr>
      </w:pPr>
      <w:r w:rsidRPr="00405D8D">
        <w:rPr>
          <w:rFonts w:eastAsia="Times New Roman" w:cstheme="minorHAnsi"/>
          <w:b/>
          <w:bCs/>
          <w:color w:val="A52A2A"/>
          <w:sz w:val="24"/>
          <w:szCs w:val="24"/>
          <w:lang w:eastAsia="fr-BE"/>
        </w:rPr>
        <w:t>Cuivreux : du potentiel ?</w:t>
      </w:r>
    </w:p>
    <w:p w14:paraId="5361C712" w14:textId="77777777" w:rsidR="00405D8D" w:rsidRPr="00405D8D" w:rsidRDefault="00405D8D" w:rsidP="00405D8D">
      <w:pPr>
        <w:shd w:val="clear" w:color="auto" w:fill="FFFFFF"/>
        <w:spacing w:before="75" w:after="75" w:line="240" w:lineRule="auto"/>
        <w:jc w:val="both"/>
        <w:rPr>
          <w:rFonts w:eastAsia="Times New Roman" w:cstheme="minorHAnsi"/>
          <w:color w:val="000000"/>
          <w:sz w:val="24"/>
          <w:szCs w:val="24"/>
          <w:lang w:eastAsia="fr-BE"/>
        </w:rPr>
      </w:pPr>
      <w:r w:rsidRPr="00405D8D">
        <w:rPr>
          <w:rFonts w:eastAsia="Times New Roman" w:cstheme="minorHAnsi"/>
          <w:color w:val="000000"/>
          <w:sz w:val="24"/>
          <w:szCs w:val="24"/>
          <w:lang w:eastAsia="fr-BE"/>
        </w:rPr>
        <w:t>Le fait est qu’en dépit d’avoir atteint il y a deux semaines un quasi plus haut historique, le </w:t>
      </w:r>
      <w:r w:rsidRPr="00405D8D">
        <w:rPr>
          <w:rFonts w:eastAsia="Times New Roman" w:cstheme="minorHAnsi"/>
          <w:color w:val="000000"/>
          <w:sz w:val="24"/>
          <w:szCs w:val="24"/>
          <w:u w:val="single"/>
          <w:lang w:eastAsia="fr-BE"/>
        </w:rPr>
        <w:t>cuivre</w:t>
      </w:r>
      <w:r w:rsidRPr="00405D8D">
        <w:rPr>
          <w:rFonts w:eastAsia="Times New Roman" w:cstheme="minorHAnsi"/>
          <w:color w:val="000000"/>
          <w:sz w:val="24"/>
          <w:szCs w:val="24"/>
          <w:lang w:eastAsia="fr-BE"/>
        </w:rPr>
        <w:t> fait l’objet de prises de bénéfice encore limitées. «</w:t>
      </w:r>
      <w:r w:rsidRPr="00405D8D">
        <w:rPr>
          <w:rFonts w:eastAsia="Times New Roman" w:cstheme="minorHAnsi"/>
          <w:i/>
          <w:iCs/>
          <w:color w:val="000000"/>
          <w:sz w:val="24"/>
          <w:szCs w:val="24"/>
          <w:lang w:eastAsia="fr-BE"/>
        </w:rPr>
        <w:t> Pour moi, le fait que le cuivre résiste aussi bien, signifie qu’il en a encore probablement pas mal sous le pied</w:t>
      </w:r>
      <w:r w:rsidRPr="00405D8D">
        <w:rPr>
          <w:rFonts w:eastAsia="Times New Roman" w:cstheme="minorHAnsi"/>
          <w:color w:val="000000"/>
          <w:sz w:val="24"/>
          <w:szCs w:val="24"/>
          <w:lang w:eastAsia="fr-BE"/>
        </w:rPr>
        <w:t> », croit savoir un marchand français... Une position qui tient plus du ressenti que de l’analyse profonde mais qui, à ce jour, trouve un semblant de fondement dans la belle résistance du cuivre et l’intérêt pas démenti par les consommateurs. Il convient toutefois de mettre un bémol à tout élan d’optimisme débridé. « </w:t>
      </w:r>
      <w:r w:rsidRPr="00405D8D">
        <w:rPr>
          <w:rFonts w:eastAsia="Times New Roman" w:cstheme="minorHAnsi"/>
          <w:i/>
          <w:iCs/>
          <w:color w:val="000000"/>
          <w:sz w:val="24"/>
          <w:szCs w:val="24"/>
          <w:lang w:eastAsia="fr-BE"/>
        </w:rPr>
        <w:t xml:space="preserve">A ces </w:t>
      </w:r>
      <w:proofErr w:type="spellStart"/>
      <w:r w:rsidRPr="00405D8D">
        <w:rPr>
          <w:rFonts w:eastAsia="Times New Roman" w:cstheme="minorHAnsi"/>
          <w:i/>
          <w:iCs/>
          <w:color w:val="000000"/>
          <w:sz w:val="24"/>
          <w:szCs w:val="24"/>
          <w:lang w:eastAsia="fr-BE"/>
        </w:rPr>
        <w:t>niveaux là</w:t>
      </w:r>
      <w:proofErr w:type="spellEnd"/>
      <w:r w:rsidRPr="00405D8D">
        <w:rPr>
          <w:rFonts w:eastAsia="Times New Roman" w:cstheme="minorHAnsi"/>
          <w:i/>
          <w:iCs/>
          <w:color w:val="000000"/>
          <w:sz w:val="24"/>
          <w:szCs w:val="24"/>
          <w:lang w:eastAsia="fr-BE"/>
        </w:rPr>
        <w:t>, personne ne se précipite pour acheter du cuivre ou du laiton</w:t>
      </w:r>
      <w:r w:rsidRPr="00405D8D">
        <w:rPr>
          <w:rFonts w:eastAsia="Times New Roman" w:cstheme="minorHAnsi"/>
          <w:color w:val="000000"/>
          <w:sz w:val="24"/>
          <w:szCs w:val="24"/>
          <w:lang w:eastAsia="fr-BE"/>
        </w:rPr>
        <w:t> », rappelle un autre professionnel. Propos confirmé par les services commerciaux des grands producteurs de </w:t>
      </w:r>
      <w:r w:rsidRPr="00405D8D">
        <w:rPr>
          <w:rFonts w:eastAsia="Times New Roman" w:cstheme="minorHAnsi"/>
          <w:color w:val="000000"/>
          <w:sz w:val="24"/>
          <w:szCs w:val="24"/>
          <w:u w:val="single"/>
          <w:lang w:eastAsia="fr-BE"/>
        </w:rPr>
        <w:t>lingots</w:t>
      </w:r>
      <w:r w:rsidRPr="00405D8D">
        <w:rPr>
          <w:rFonts w:eastAsia="Times New Roman" w:cstheme="minorHAnsi"/>
          <w:color w:val="000000"/>
          <w:sz w:val="24"/>
          <w:szCs w:val="24"/>
          <w:lang w:eastAsia="fr-BE"/>
        </w:rPr>
        <w:t> et de </w:t>
      </w:r>
      <w:r w:rsidRPr="00405D8D">
        <w:rPr>
          <w:rFonts w:eastAsia="Times New Roman" w:cstheme="minorHAnsi"/>
          <w:color w:val="000000"/>
          <w:sz w:val="24"/>
          <w:szCs w:val="24"/>
          <w:u w:val="single"/>
          <w:lang w:eastAsia="fr-BE"/>
        </w:rPr>
        <w:t>demi-produits</w:t>
      </w:r>
      <w:r w:rsidRPr="00405D8D">
        <w:rPr>
          <w:rFonts w:eastAsia="Times New Roman" w:cstheme="minorHAnsi"/>
          <w:color w:val="000000"/>
          <w:sz w:val="24"/>
          <w:szCs w:val="24"/>
          <w:lang w:eastAsia="fr-BE"/>
        </w:rPr>
        <w:t> qui se plaignent des difficultés rencontrées pour remplir leurs carnets de commandes.</w:t>
      </w:r>
    </w:p>
    <w:p w14:paraId="691EE337" w14:textId="77777777" w:rsidR="00405D8D" w:rsidRPr="00405D8D" w:rsidRDefault="00405D8D" w:rsidP="00405D8D">
      <w:pPr>
        <w:shd w:val="clear" w:color="auto" w:fill="FFFFFF"/>
        <w:spacing w:before="75" w:after="75" w:line="240" w:lineRule="auto"/>
        <w:jc w:val="both"/>
        <w:rPr>
          <w:rFonts w:eastAsia="Times New Roman" w:cstheme="minorHAnsi"/>
          <w:color w:val="000000"/>
          <w:sz w:val="24"/>
          <w:szCs w:val="24"/>
          <w:lang w:eastAsia="fr-BE"/>
        </w:rPr>
      </w:pPr>
      <w:r w:rsidRPr="00405D8D">
        <w:rPr>
          <w:rFonts w:eastAsia="Times New Roman" w:cstheme="minorHAnsi"/>
          <w:color w:val="000000"/>
          <w:sz w:val="24"/>
          <w:szCs w:val="24"/>
          <w:lang w:eastAsia="fr-BE"/>
        </w:rPr>
        <w:t xml:space="preserve">La bonne nouvelle de la semaine réside une fois encore dans la stabilité des décotes applicables par les usines européennes. On note toutefois une érosion des pourcentages appliqués aux grenailles à la grande exportation (-1 % en moyenne). Sur la base d’un </w:t>
      </w:r>
      <w:proofErr w:type="spellStart"/>
      <w:r w:rsidRPr="00405D8D">
        <w:rPr>
          <w:rFonts w:eastAsia="Times New Roman" w:cstheme="minorHAnsi"/>
          <w:color w:val="000000"/>
          <w:sz w:val="24"/>
          <w:szCs w:val="24"/>
          <w:lang w:eastAsia="fr-BE"/>
        </w:rPr>
        <w:t>lowest</w:t>
      </w:r>
      <w:proofErr w:type="spellEnd"/>
      <w:r w:rsidRPr="00405D8D">
        <w:rPr>
          <w:rFonts w:eastAsia="Times New Roman" w:cstheme="minorHAnsi"/>
          <w:color w:val="000000"/>
          <w:sz w:val="24"/>
          <w:szCs w:val="24"/>
          <w:lang w:eastAsia="fr-BE"/>
        </w:rPr>
        <w:t xml:space="preserve"> à 7580 euros, le </w:t>
      </w:r>
      <w:r w:rsidRPr="00405D8D">
        <w:rPr>
          <w:rFonts w:eastAsia="Times New Roman" w:cstheme="minorHAnsi"/>
          <w:color w:val="000000"/>
          <w:sz w:val="24"/>
          <w:szCs w:val="24"/>
          <w:u w:val="single"/>
          <w:lang w:eastAsia="fr-BE"/>
        </w:rPr>
        <w:t>cuivre mêlé</w:t>
      </w:r>
      <w:r w:rsidRPr="00405D8D">
        <w:rPr>
          <w:rFonts w:eastAsia="Times New Roman" w:cstheme="minorHAnsi"/>
          <w:color w:val="000000"/>
          <w:sz w:val="24"/>
          <w:szCs w:val="24"/>
          <w:lang w:eastAsia="fr-BE"/>
        </w:rPr>
        <w:t> vaut autour des 6300 euros départ, la </w:t>
      </w:r>
      <w:r w:rsidRPr="00405D8D">
        <w:rPr>
          <w:rFonts w:eastAsia="Times New Roman" w:cstheme="minorHAnsi"/>
          <w:color w:val="000000"/>
          <w:sz w:val="24"/>
          <w:szCs w:val="24"/>
          <w:u w:val="single"/>
          <w:lang w:eastAsia="fr-BE"/>
        </w:rPr>
        <w:t>grenaille N°2 </w:t>
      </w:r>
      <w:r w:rsidRPr="00405D8D">
        <w:rPr>
          <w:rFonts w:eastAsia="Times New Roman" w:cstheme="minorHAnsi"/>
          <w:color w:val="000000"/>
          <w:sz w:val="24"/>
          <w:szCs w:val="24"/>
          <w:lang w:eastAsia="fr-BE"/>
        </w:rPr>
        <w:t xml:space="preserve">6750 </w:t>
      </w:r>
      <w:proofErr w:type="gramStart"/>
      <w:r w:rsidRPr="00405D8D">
        <w:rPr>
          <w:rFonts w:eastAsia="Times New Roman" w:cstheme="minorHAnsi"/>
          <w:color w:val="000000"/>
          <w:sz w:val="24"/>
          <w:szCs w:val="24"/>
          <w:lang w:eastAsia="fr-BE"/>
        </w:rPr>
        <w:t>départ</w:t>
      </w:r>
      <w:proofErr w:type="gramEnd"/>
      <w:r w:rsidRPr="00405D8D">
        <w:rPr>
          <w:rFonts w:eastAsia="Times New Roman" w:cstheme="minorHAnsi"/>
          <w:color w:val="000000"/>
          <w:sz w:val="24"/>
          <w:szCs w:val="24"/>
          <w:lang w:eastAsia="fr-BE"/>
        </w:rPr>
        <w:t xml:space="preserve"> et le </w:t>
      </w:r>
      <w:r w:rsidRPr="00405D8D">
        <w:rPr>
          <w:rFonts w:eastAsia="Times New Roman" w:cstheme="minorHAnsi"/>
          <w:color w:val="000000"/>
          <w:sz w:val="24"/>
          <w:szCs w:val="24"/>
          <w:u w:val="single"/>
          <w:lang w:eastAsia="fr-BE"/>
        </w:rPr>
        <w:t>câble 42 %</w:t>
      </w:r>
      <w:r w:rsidRPr="00405D8D">
        <w:rPr>
          <w:rFonts w:eastAsia="Times New Roman" w:cstheme="minorHAnsi"/>
          <w:color w:val="000000"/>
          <w:sz w:val="24"/>
          <w:szCs w:val="24"/>
          <w:lang w:eastAsia="fr-BE"/>
        </w:rPr>
        <w:t> autour des 2450 euros franco.  Compter 3900/3950 euros en moyenne pour du </w:t>
      </w:r>
      <w:r w:rsidRPr="00405D8D">
        <w:rPr>
          <w:rFonts w:eastAsia="Times New Roman" w:cstheme="minorHAnsi"/>
          <w:color w:val="000000"/>
          <w:sz w:val="24"/>
          <w:szCs w:val="24"/>
          <w:u w:val="single"/>
          <w:lang w:eastAsia="fr-BE"/>
        </w:rPr>
        <w:t>laiton mêlé</w:t>
      </w:r>
      <w:r w:rsidRPr="00405D8D">
        <w:rPr>
          <w:rFonts w:eastAsia="Times New Roman" w:cstheme="minorHAnsi"/>
          <w:color w:val="000000"/>
          <w:sz w:val="24"/>
          <w:szCs w:val="24"/>
          <w:lang w:eastAsia="fr-BE"/>
        </w:rPr>
        <w:t>. La barre des 4000 est toutefois franchie chez certains importateurs indiens.</w:t>
      </w:r>
    </w:p>
    <w:p w14:paraId="60FFA17A" w14:textId="77777777" w:rsidR="00405D8D" w:rsidRPr="00405D8D" w:rsidRDefault="00405D8D" w:rsidP="00405D8D">
      <w:pPr>
        <w:shd w:val="clear" w:color="auto" w:fill="FFFFFF"/>
        <w:spacing w:before="75" w:after="75" w:line="240" w:lineRule="auto"/>
        <w:jc w:val="both"/>
        <w:rPr>
          <w:rFonts w:eastAsia="Times New Roman" w:cstheme="minorHAnsi"/>
          <w:color w:val="000000"/>
          <w:sz w:val="24"/>
          <w:szCs w:val="24"/>
          <w:lang w:eastAsia="fr-BE"/>
        </w:rPr>
      </w:pPr>
      <w:r w:rsidRPr="00405D8D">
        <w:rPr>
          <w:rFonts w:eastAsia="Times New Roman" w:cstheme="minorHAnsi"/>
          <w:color w:val="000000"/>
          <w:sz w:val="24"/>
          <w:szCs w:val="24"/>
          <w:lang w:eastAsia="fr-BE"/>
        </w:rPr>
        <w:t> </w:t>
      </w:r>
    </w:p>
    <w:p w14:paraId="49E29FC2" w14:textId="77777777" w:rsidR="00405D8D" w:rsidRPr="00405D8D" w:rsidRDefault="00405D8D" w:rsidP="00405D8D">
      <w:pPr>
        <w:shd w:val="clear" w:color="auto" w:fill="FFFFFF"/>
        <w:spacing w:before="75" w:after="75" w:line="240" w:lineRule="auto"/>
        <w:jc w:val="both"/>
        <w:rPr>
          <w:rFonts w:eastAsia="Times New Roman" w:cstheme="minorHAnsi"/>
          <w:color w:val="000000"/>
          <w:sz w:val="24"/>
          <w:szCs w:val="24"/>
          <w:lang w:eastAsia="fr-BE"/>
        </w:rPr>
      </w:pPr>
      <w:r w:rsidRPr="00405D8D">
        <w:rPr>
          <w:rFonts w:eastAsia="Times New Roman" w:cstheme="minorHAnsi"/>
          <w:b/>
          <w:bCs/>
          <w:color w:val="A52A2A"/>
          <w:sz w:val="24"/>
          <w:szCs w:val="24"/>
          <w:lang w:eastAsia="fr-BE"/>
        </w:rPr>
        <w:t>Inox : des écarts conséquents</w:t>
      </w:r>
    </w:p>
    <w:p w14:paraId="1617B889" w14:textId="77777777" w:rsidR="00405D8D" w:rsidRPr="00405D8D" w:rsidRDefault="00405D8D" w:rsidP="00405D8D">
      <w:pPr>
        <w:shd w:val="clear" w:color="auto" w:fill="FFFFFF"/>
        <w:spacing w:before="75" w:after="75" w:line="240" w:lineRule="auto"/>
        <w:jc w:val="both"/>
        <w:rPr>
          <w:rFonts w:eastAsia="Times New Roman" w:cstheme="minorHAnsi"/>
          <w:color w:val="000000"/>
          <w:sz w:val="24"/>
          <w:szCs w:val="24"/>
          <w:lang w:eastAsia="fr-BE"/>
        </w:rPr>
      </w:pPr>
      <w:r w:rsidRPr="00405D8D">
        <w:rPr>
          <w:rFonts w:eastAsia="Times New Roman" w:cstheme="minorHAnsi"/>
          <w:color w:val="000000"/>
          <w:sz w:val="24"/>
          <w:szCs w:val="24"/>
          <w:lang w:eastAsia="fr-BE"/>
        </w:rPr>
        <w:lastRenderedPageBreak/>
        <w:t>Si on assiste à une stabilisation des prix en France, à l’exportation, les prix sont plus fermes, le </w:t>
      </w:r>
      <w:r w:rsidRPr="00405D8D">
        <w:rPr>
          <w:rFonts w:eastAsia="Times New Roman" w:cstheme="minorHAnsi"/>
          <w:color w:val="000000"/>
          <w:sz w:val="24"/>
          <w:szCs w:val="24"/>
          <w:u w:val="single"/>
          <w:lang w:eastAsia="fr-BE"/>
        </w:rPr>
        <w:t>304</w:t>
      </w:r>
      <w:r w:rsidRPr="00405D8D">
        <w:rPr>
          <w:rFonts w:eastAsia="Times New Roman" w:cstheme="minorHAnsi"/>
          <w:color w:val="000000"/>
          <w:sz w:val="24"/>
          <w:szCs w:val="24"/>
          <w:lang w:eastAsia="fr-BE"/>
        </w:rPr>
        <w:t> oscille entre 1300 et 1400 euros, avec des pointes à 1430. Le </w:t>
      </w:r>
      <w:r w:rsidRPr="00405D8D">
        <w:rPr>
          <w:rFonts w:eastAsia="Times New Roman" w:cstheme="minorHAnsi"/>
          <w:color w:val="000000"/>
          <w:sz w:val="24"/>
          <w:szCs w:val="24"/>
          <w:u w:val="single"/>
          <w:lang w:eastAsia="fr-BE"/>
        </w:rPr>
        <w:t>316</w:t>
      </w:r>
      <w:r w:rsidRPr="00405D8D">
        <w:rPr>
          <w:rFonts w:eastAsia="Times New Roman" w:cstheme="minorHAnsi"/>
          <w:color w:val="000000"/>
          <w:sz w:val="24"/>
          <w:szCs w:val="24"/>
          <w:lang w:eastAsia="fr-BE"/>
        </w:rPr>
        <w:t> progresse encore, à 1850/1900 euros, le haut de la fourchette étant obtenu à l’exportation.</w:t>
      </w:r>
    </w:p>
    <w:p w14:paraId="270F1831" w14:textId="77777777" w:rsidR="00405D8D" w:rsidRPr="00405D8D" w:rsidRDefault="00405D8D" w:rsidP="00405D8D">
      <w:pPr>
        <w:shd w:val="clear" w:color="auto" w:fill="FFFFFF"/>
        <w:spacing w:before="75" w:after="75" w:line="240" w:lineRule="auto"/>
        <w:jc w:val="both"/>
        <w:rPr>
          <w:rFonts w:eastAsia="Times New Roman" w:cstheme="minorHAnsi"/>
          <w:color w:val="000000"/>
          <w:sz w:val="24"/>
          <w:szCs w:val="24"/>
          <w:lang w:eastAsia="fr-BE"/>
        </w:rPr>
      </w:pPr>
      <w:r w:rsidRPr="00405D8D">
        <w:rPr>
          <w:rFonts w:eastAsia="Times New Roman" w:cstheme="minorHAnsi"/>
          <w:color w:val="000000"/>
          <w:sz w:val="24"/>
          <w:szCs w:val="24"/>
          <w:lang w:eastAsia="fr-BE"/>
        </w:rPr>
        <w:t> </w:t>
      </w:r>
    </w:p>
    <w:p w14:paraId="091FE107" w14:textId="77777777" w:rsidR="00405D8D" w:rsidRPr="00405D8D" w:rsidRDefault="00405D8D" w:rsidP="00405D8D">
      <w:pPr>
        <w:shd w:val="clear" w:color="auto" w:fill="FFFFFF"/>
        <w:spacing w:before="75" w:after="75" w:line="240" w:lineRule="auto"/>
        <w:jc w:val="both"/>
        <w:rPr>
          <w:rFonts w:eastAsia="Times New Roman" w:cstheme="minorHAnsi"/>
          <w:color w:val="000000"/>
          <w:sz w:val="24"/>
          <w:szCs w:val="24"/>
          <w:lang w:eastAsia="fr-BE"/>
        </w:rPr>
      </w:pPr>
      <w:r w:rsidRPr="00405D8D">
        <w:rPr>
          <w:rFonts w:eastAsia="Times New Roman" w:cstheme="minorHAnsi"/>
          <w:b/>
          <w:bCs/>
          <w:color w:val="A52A2A"/>
          <w:sz w:val="24"/>
          <w:szCs w:val="24"/>
          <w:lang w:eastAsia="fr-BE"/>
        </w:rPr>
        <w:t xml:space="preserve">Vieux </w:t>
      </w:r>
      <w:proofErr w:type="gramStart"/>
      <w:r w:rsidRPr="00405D8D">
        <w:rPr>
          <w:rFonts w:eastAsia="Times New Roman" w:cstheme="minorHAnsi"/>
          <w:b/>
          <w:bCs/>
          <w:color w:val="A52A2A"/>
          <w:sz w:val="24"/>
          <w:szCs w:val="24"/>
          <w:lang w:eastAsia="fr-BE"/>
        </w:rPr>
        <w:t>zinc:</w:t>
      </w:r>
      <w:proofErr w:type="gramEnd"/>
      <w:r w:rsidRPr="00405D8D">
        <w:rPr>
          <w:rFonts w:eastAsia="Times New Roman" w:cstheme="minorHAnsi"/>
          <w:b/>
          <w:bCs/>
          <w:color w:val="A52A2A"/>
          <w:sz w:val="24"/>
          <w:szCs w:val="24"/>
          <w:lang w:eastAsia="fr-BE"/>
        </w:rPr>
        <w:t xml:space="preserve"> léger mieux</w:t>
      </w:r>
    </w:p>
    <w:p w14:paraId="27087920" w14:textId="77777777" w:rsidR="00405D8D" w:rsidRPr="00405D8D" w:rsidRDefault="00405D8D" w:rsidP="00405D8D">
      <w:pPr>
        <w:shd w:val="clear" w:color="auto" w:fill="FFFFFF"/>
        <w:spacing w:before="75" w:after="75" w:line="240" w:lineRule="auto"/>
        <w:jc w:val="both"/>
        <w:rPr>
          <w:rFonts w:eastAsia="Times New Roman" w:cstheme="minorHAnsi"/>
          <w:color w:val="000000"/>
          <w:sz w:val="24"/>
          <w:szCs w:val="24"/>
          <w:lang w:eastAsia="fr-BE"/>
        </w:rPr>
      </w:pPr>
      <w:r w:rsidRPr="00405D8D">
        <w:rPr>
          <w:rFonts w:eastAsia="Times New Roman" w:cstheme="minorHAnsi"/>
          <w:color w:val="000000"/>
          <w:sz w:val="24"/>
          <w:szCs w:val="24"/>
          <w:lang w:eastAsia="fr-BE"/>
        </w:rPr>
        <w:t>L’impact de la hausse du </w:t>
      </w:r>
      <w:r w:rsidRPr="00405D8D">
        <w:rPr>
          <w:rFonts w:eastAsia="Times New Roman" w:cstheme="minorHAnsi"/>
          <w:color w:val="000000"/>
          <w:sz w:val="24"/>
          <w:szCs w:val="24"/>
          <w:u w:val="single"/>
          <w:lang w:eastAsia="fr-BE"/>
        </w:rPr>
        <w:t>zinc</w:t>
      </w:r>
      <w:r w:rsidRPr="00405D8D">
        <w:rPr>
          <w:rFonts w:eastAsia="Times New Roman" w:cstheme="minorHAnsi"/>
          <w:color w:val="000000"/>
          <w:sz w:val="24"/>
          <w:szCs w:val="24"/>
          <w:lang w:eastAsia="fr-BE"/>
        </w:rPr>
        <w:t> à Londres sur le marché du </w:t>
      </w:r>
      <w:r w:rsidRPr="00405D8D">
        <w:rPr>
          <w:rFonts w:eastAsia="Times New Roman" w:cstheme="minorHAnsi"/>
          <w:color w:val="000000"/>
          <w:sz w:val="24"/>
          <w:szCs w:val="24"/>
          <w:u w:val="single"/>
          <w:lang w:eastAsia="fr-BE"/>
        </w:rPr>
        <w:t>vieux zinc</w:t>
      </w:r>
      <w:r w:rsidRPr="00405D8D">
        <w:rPr>
          <w:rFonts w:eastAsia="Times New Roman" w:cstheme="minorHAnsi"/>
          <w:color w:val="000000"/>
          <w:sz w:val="24"/>
          <w:szCs w:val="24"/>
          <w:lang w:eastAsia="fr-BE"/>
        </w:rPr>
        <w:t> est limité (une trentaine d’euros de mieux qu’il y a huit jours), essentiellement sur l’Italie où le prix moyen s’établit à 1740 euros franco par camions complets.</w:t>
      </w:r>
    </w:p>
    <w:p w14:paraId="0B1B8137" w14:textId="77777777" w:rsidR="00405D8D" w:rsidRPr="00405D8D" w:rsidRDefault="00405D8D" w:rsidP="00405D8D">
      <w:pPr>
        <w:shd w:val="clear" w:color="auto" w:fill="FFFFFF"/>
        <w:spacing w:before="75" w:after="75" w:line="240" w:lineRule="auto"/>
        <w:jc w:val="both"/>
        <w:rPr>
          <w:rFonts w:eastAsia="Times New Roman" w:cstheme="minorHAnsi"/>
          <w:color w:val="000000"/>
          <w:sz w:val="24"/>
          <w:szCs w:val="24"/>
          <w:lang w:eastAsia="fr-BE"/>
        </w:rPr>
      </w:pPr>
      <w:r w:rsidRPr="00405D8D">
        <w:rPr>
          <w:rFonts w:eastAsia="Times New Roman" w:cstheme="minorHAnsi"/>
          <w:color w:val="000000"/>
          <w:sz w:val="24"/>
          <w:szCs w:val="24"/>
          <w:lang w:eastAsia="fr-BE"/>
        </w:rPr>
        <w:t>Enfin, nouvelle dégradation pour les </w:t>
      </w:r>
      <w:r w:rsidRPr="00405D8D">
        <w:rPr>
          <w:rFonts w:eastAsia="Times New Roman" w:cstheme="minorHAnsi"/>
          <w:color w:val="000000"/>
          <w:sz w:val="24"/>
          <w:szCs w:val="24"/>
          <w:u w:val="single"/>
          <w:lang w:eastAsia="fr-BE"/>
        </w:rPr>
        <w:t>déchets de plomb</w:t>
      </w:r>
      <w:r w:rsidRPr="00405D8D">
        <w:rPr>
          <w:rFonts w:eastAsia="Times New Roman" w:cstheme="minorHAnsi"/>
          <w:color w:val="000000"/>
          <w:sz w:val="24"/>
          <w:szCs w:val="24"/>
          <w:lang w:eastAsia="fr-BE"/>
        </w:rPr>
        <w:t>. Les </w:t>
      </w:r>
      <w:r w:rsidRPr="00405D8D">
        <w:rPr>
          <w:rFonts w:eastAsia="Times New Roman" w:cstheme="minorHAnsi"/>
          <w:color w:val="000000"/>
          <w:sz w:val="24"/>
          <w:szCs w:val="24"/>
          <w:u w:val="single"/>
          <w:lang w:eastAsia="fr-BE"/>
        </w:rPr>
        <w:t>batteries</w:t>
      </w:r>
      <w:r w:rsidRPr="00405D8D">
        <w:rPr>
          <w:rFonts w:eastAsia="Times New Roman" w:cstheme="minorHAnsi"/>
          <w:color w:val="000000"/>
          <w:sz w:val="24"/>
          <w:szCs w:val="24"/>
          <w:lang w:eastAsia="fr-BE"/>
        </w:rPr>
        <w:t> refluent à 630 euros et le </w:t>
      </w:r>
      <w:r w:rsidRPr="00405D8D">
        <w:rPr>
          <w:rFonts w:eastAsia="Times New Roman" w:cstheme="minorHAnsi"/>
          <w:color w:val="000000"/>
          <w:sz w:val="24"/>
          <w:szCs w:val="24"/>
          <w:u w:val="single"/>
          <w:lang w:eastAsia="fr-BE"/>
        </w:rPr>
        <w:t>vieux plomb</w:t>
      </w:r>
      <w:r w:rsidRPr="00405D8D">
        <w:rPr>
          <w:rFonts w:eastAsia="Times New Roman" w:cstheme="minorHAnsi"/>
          <w:color w:val="000000"/>
          <w:sz w:val="24"/>
          <w:szCs w:val="24"/>
          <w:lang w:eastAsia="fr-BE"/>
        </w:rPr>
        <w:t> autour des 1450 euros.</w:t>
      </w:r>
    </w:p>
    <w:p w14:paraId="49925526" w14:textId="77777777" w:rsidR="00D44E71" w:rsidRDefault="00D44E71"/>
    <w:sectPr w:rsidR="00D44E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D8D"/>
    <w:rsid w:val="00405D8D"/>
    <w:rsid w:val="00D44E7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1896C"/>
  <w15:chartTrackingRefBased/>
  <w15:docId w15:val="{A25ACFC2-6771-4570-B169-334D79AC4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442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3424</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mayers</dc:creator>
  <cp:keywords/>
  <dc:description/>
  <cp:lastModifiedBy>info mayers</cp:lastModifiedBy>
  <cp:revision>1</cp:revision>
  <dcterms:created xsi:type="dcterms:W3CDTF">2021-03-17T08:07:00Z</dcterms:created>
  <dcterms:modified xsi:type="dcterms:W3CDTF">2021-03-17T08:08:00Z</dcterms:modified>
</cp:coreProperties>
</file>